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cs="宋体"/>
          <w:kern w:val="0"/>
          <w:sz w:val="32"/>
          <w:szCs w:val="32"/>
        </w:rPr>
      </w:pPr>
      <w:bookmarkStart w:id="0" w:name="_GoBack"/>
      <w:bookmarkEnd w:id="0"/>
      <w:r>
        <w:rPr>
          <w:rFonts w:hint="eastAsia" w:ascii="黑体" w:hAnsi="宋体" w:eastAsia="黑体" w:cs="宋体"/>
          <w:kern w:val="0"/>
          <w:sz w:val="32"/>
          <w:szCs w:val="32"/>
        </w:rPr>
        <w:t>附件1</w:t>
      </w:r>
      <w:r>
        <w:rPr>
          <w:rFonts w:ascii="黑体" w:hAnsi="宋体" w:eastAsia="黑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pPr>
        <w:widowControl/>
        <w:ind w:left="93"/>
        <w:jc w:val="both"/>
        <w:rPr>
          <w:rFonts w:hint="eastAsia" w:ascii="宋体" w:hAnsi="宋体" w:cs="宋体"/>
          <w:bCs/>
          <w:kern w:val="0"/>
          <w:sz w:val="30"/>
          <w:szCs w:val="30"/>
        </w:rPr>
      </w:pPr>
      <w:r>
        <w:rPr>
          <w:rFonts w:hint="eastAsia" w:ascii="宋体" w:hAnsi="宋体" w:cs="宋体"/>
          <w:bCs/>
          <w:kern w:val="0"/>
          <w:sz w:val="30"/>
          <w:szCs w:val="30"/>
          <w:lang w:eastAsia="zh-CN"/>
        </w:rPr>
        <w:t>市少年儿童图书馆</w:t>
      </w:r>
      <w:r>
        <w:rPr>
          <w:rFonts w:hint="eastAsia" w:ascii="宋体" w:hAnsi="宋体" w:cs="宋体"/>
          <w:bCs/>
          <w:kern w:val="0"/>
          <w:sz w:val="30"/>
          <w:szCs w:val="30"/>
          <w:lang w:val="en-US" w:eastAsia="zh-CN"/>
        </w:rPr>
        <w:t>2020年度</w:t>
      </w:r>
      <w:r>
        <w:rPr>
          <w:rFonts w:hint="eastAsia" w:ascii="宋体" w:hAnsi="宋体" w:cs="宋体"/>
          <w:bCs/>
          <w:kern w:val="0"/>
          <w:sz w:val="30"/>
          <w:szCs w:val="30"/>
        </w:rPr>
        <w:t>部门整体支出绩效评价指标评分表</w:t>
      </w:r>
    </w:p>
    <w:tbl>
      <w:tblPr>
        <w:tblStyle w:val="2"/>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33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noWrap w:val="0"/>
            <w:vAlign w:val="center"/>
          </w:tcPr>
          <w:p>
            <w:pPr>
              <w:widowControl/>
              <w:jc w:val="left"/>
              <w:rPr>
                <w:rFonts w:hint="eastAsia" w:ascii="宋体" w:hAnsi="宋体" w:cs="宋体"/>
                <w:b/>
                <w:bCs/>
                <w:kern w:val="0"/>
                <w:sz w:val="20"/>
                <w:szCs w:val="20"/>
              </w:rPr>
            </w:pPr>
            <w:r>
              <w:rPr>
                <w:rFonts w:hint="eastAsia" w:ascii="宋体" w:hAnsi="宋体" w:cs="宋体"/>
                <w:b/>
                <w:bCs/>
                <w:kern w:val="0"/>
                <w:sz w:val="20"/>
                <w:szCs w:val="20"/>
              </w:rPr>
              <w:t>一级指标</w:t>
            </w:r>
          </w:p>
        </w:tc>
        <w:tc>
          <w:tcPr>
            <w:tcW w:w="429"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二级指标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85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三级   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3118"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评价标准</w:t>
            </w:r>
          </w:p>
        </w:tc>
        <w:tc>
          <w:tcPr>
            <w:tcW w:w="3330"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c>
          <w:tcPr>
            <w:tcW w:w="759"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noWrap w:val="0"/>
            <w:textDirection w:val="tbRlV"/>
            <w:vAlign w:val="top"/>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投    入</w:t>
            </w:r>
          </w:p>
        </w:tc>
        <w:tc>
          <w:tcPr>
            <w:tcW w:w="429"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330" w:type="dxa"/>
            <w:noWrap w:val="0"/>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“三公经费”变动率=[（本年度“三公经费”总额-上年度“三公经费”总额）/上年度“三公经费”总额]×100%。</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330" w:type="dxa"/>
            <w:noWrap w:val="0"/>
            <w:vAlign w:val="top"/>
          </w:tcPr>
          <w:p>
            <w:pPr>
              <w:widowControl/>
              <w:jc w:val="left"/>
              <w:rPr>
                <w:rFonts w:hint="eastAsia" w:ascii="仿宋_GB2312" w:hAnsi="宋体" w:eastAsia="仿宋_GB2312" w:cs="宋体"/>
                <w:kern w:val="0"/>
                <w:sz w:val="20"/>
                <w:szCs w:val="20"/>
              </w:rPr>
            </w:pP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330" w:type="dxa"/>
            <w:noWrap w:val="0"/>
            <w:vAlign w:val="top"/>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759" w:type="dxa"/>
            <w:noWrap w:val="0"/>
            <w:vAlign w:val="top"/>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330" w:type="dxa"/>
            <w:noWrap w:val="0"/>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重点支出安排率=（重点项目支出/项目总支出）×100%</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top"/>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330" w:type="dxa"/>
            <w:noWrap w:val="0"/>
            <w:vAlign w:val="top"/>
          </w:tcPr>
          <w:p>
            <w:pPr>
              <w:widowControl/>
              <w:jc w:val="left"/>
              <w:rPr>
                <w:rFonts w:hint="eastAsia" w:ascii="仿宋_GB2312" w:hAnsi="宋体" w:eastAsia="仿宋_GB2312" w:cs="宋体"/>
                <w:kern w:val="0"/>
                <w:sz w:val="20"/>
                <w:szCs w:val="20"/>
              </w:rPr>
            </w:pPr>
          </w:p>
        </w:tc>
        <w:tc>
          <w:tcPr>
            <w:tcW w:w="759" w:type="dxa"/>
            <w:noWrap w:val="0"/>
            <w:vAlign w:val="top"/>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411" w:type="dxa"/>
            <w:vMerge w:val="continue"/>
            <w:noWrap w:val="0"/>
            <w:vAlign w:val="top"/>
          </w:tcPr>
          <w:p>
            <w:pPr>
              <w:widowControl/>
              <w:jc w:val="left"/>
              <w:rPr>
                <w:rFonts w:hint="eastAsia" w:ascii="仿宋_GB2312" w:hAnsi="宋体" w:eastAsia="仿宋_GB2312" w:cs="宋体"/>
                <w:kern w:val="0"/>
                <w:sz w:val="20"/>
                <w:szCs w:val="20"/>
              </w:rPr>
            </w:pPr>
          </w:p>
        </w:tc>
        <w:tc>
          <w:tcPr>
            <w:tcW w:w="429" w:type="dxa"/>
            <w:vMerge w:val="continue"/>
            <w:noWrap w:val="0"/>
            <w:vAlign w:val="top"/>
          </w:tcPr>
          <w:p>
            <w:pPr>
              <w:widowControl/>
              <w:jc w:val="left"/>
              <w:rPr>
                <w:rFonts w:hint="eastAsia" w:ascii="仿宋_GB2312" w:hAnsi="宋体" w:eastAsia="仿宋_GB2312" w:cs="宋体"/>
                <w:kern w:val="0"/>
                <w:sz w:val="20"/>
                <w:szCs w:val="20"/>
              </w:rPr>
            </w:pPr>
          </w:p>
        </w:tc>
        <w:tc>
          <w:tcPr>
            <w:tcW w:w="567" w:type="dxa"/>
            <w:vMerge w:val="continue"/>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ascii="仿宋_GB2312" w:hAnsi="宋体" w:eastAsia="仿宋_GB2312" w:cs="宋体"/>
                <w:kern w:val="0"/>
                <w:sz w:val="20"/>
                <w:szCs w:val="20"/>
              </w:rPr>
              <w:t>20</w:t>
            </w:r>
            <w:r>
              <w:rPr>
                <w:rFonts w:hint="eastAsia" w:ascii="仿宋_GB2312" w:hAnsi="宋体" w:eastAsia="仿宋_GB2312" w:cs="宋体"/>
                <w:kern w:val="0"/>
                <w:sz w:val="20"/>
                <w:szCs w:val="20"/>
              </w:rPr>
              <w:t>20年度非税实际收入完成数/</w:t>
            </w:r>
            <w:r>
              <w:rPr>
                <w:rFonts w:ascii="仿宋_GB2312" w:hAnsi="宋体" w:eastAsia="仿宋_GB2312" w:cs="宋体"/>
                <w:kern w:val="0"/>
                <w:sz w:val="20"/>
                <w:szCs w:val="20"/>
              </w:rPr>
              <w:t>20</w:t>
            </w:r>
            <w:r>
              <w:rPr>
                <w:rFonts w:hint="eastAsia" w:ascii="仿宋_GB2312" w:hAnsi="宋体" w:eastAsia="仿宋_GB2312" w:cs="宋体"/>
                <w:kern w:val="0"/>
                <w:sz w:val="20"/>
                <w:szCs w:val="20"/>
              </w:rPr>
              <w:t>20年度非税收入预算数）×100%，有减免因素的，以非税局确定的为准。</w:t>
            </w:r>
          </w:p>
        </w:tc>
        <w:tc>
          <w:tcPr>
            <w:tcW w:w="759" w:type="dxa"/>
            <w:noWrap w:val="0"/>
            <w:vAlign w:val="top"/>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411" w:type="dxa"/>
            <w:vMerge w:val="restart"/>
            <w:noWrap w:val="0"/>
            <w:textDirection w:val="tbRlV"/>
            <w:vAlign w:val="top"/>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widowControl/>
              <w:jc w:val="left"/>
              <w:rPr>
                <w:rFonts w:hint="eastAsia" w:ascii="仿宋_GB2312" w:hAnsi="宋体" w:eastAsia="仿宋_GB2312" w:cs="宋体"/>
                <w:kern w:val="0"/>
                <w:sz w:val="20"/>
                <w:szCs w:val="20"/>
              </w:rPr>
            </w:pPr>
          </w:p>
          <w:p>
            <w:pP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完成率&lt;1，计2分，</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完成率=1，计1分，</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完成率&gt;1，不得分。</w:t>
            </w:r>
          </w:p>
          <w:p>
            <w:pPr>
              <w:widowControl/>
              <w:jc w:val="center"/>
              <w:rPr>
                <w:rFonts w:hint="eastAsia" w:ascii="仿宋_GB2312" w:hAnsi="宋体" w:eastAsia="仿宋_GB2312" w:cs="宋体"/>
                <w:kern w:val="0"/>
                <w:sz w:val="20"/>
                <w:szCs w:val="20"/>
              </w:rPr>
            </w:pPr>
          </w:p>
        </w:tc>
        <w:tc>
          <w:tcPr>
            <w:tcW w:w="3330" w:type="dxa"/>
            <w:noWrap w:val="0"/>
            <w:vAlign w:val="center"/>
          </w:tcPr>
          <w:p>
            <w:pPr>
              <w:autoSpaceDN w:val="0"/>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759" w:type="dxa"/>
            <w:noWrap w:val="0"/>
            <w:vAlign w:val="top"/>
          </w:tcPr>
          <w:p>
            <w:pPr>
              <w:widowControl/>
              <w:jc w:val="left"/>
              <w:rPr>
                <w:rFonts w:hint="eastAsia" w:ascii="宋体" w:hAnsi="宋体" w:eastAsia="宋体" w:cs="宋体"/>
                <w:kern w:val="0"/>
                <w:sz w:val="24"/>
                <w:highlight w:val="yellow"/>
                <w:lang w:val="en-US" w:eastAsia="zh-CN"/>
              </w:rPr>
            </w:pPr>
            <w:r>
              <w:rPr>
                <w:rFonts w:hint="eastAsia" w:ascii="宋体" w:hAnsi="宋体" w:cs="宋体"/>
                <w:kern w:val="0"/>
                <w:sz w:val="24"/>
                <w:highlight w:val="yellow"/>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411" w:type="dxa"/>
            <w:vMerge w:val="continue"/>
            <w:noWrap w:val="0"/>
            <w:vAlign w:val="top"/>
          </w:tcPr>
          <w:p>
            <w:pPr>
              <w:rPr>
                <w:rFonts w:ascii="仿宋_GB2312" w:hAnsi="宋体" w:eastAsia="仿宋_GB2312" w:cs="宋体"/>
                <w:kern w:val="0"/>
                <w:sz w:val="20"/>
                <w:szCs w:val="20"/>
              </w:rPr>
            </w:pPr>
          </w:p>
        </w:tc>
        <w:tc>
          <w:tcPr>
            <w:tcW w:w="429" w:type="dxa"/>
            <w:vMerge w:val="continue"/>
            <w:tcBorders>
              <w:right w:val="single" w:color="auto" w:sz="4" w:space="0"/>
            </w:tcBorders>
            <w:noWrap w:val="0"/>
            <w:vAlign w:val="top"/>
          </w:tcPr>
          <w:p>
            <w:pP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top"/>
          </w:tcPr>
          <w:p>
            <w:pPr>
              <w:jc w:val="center"/>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结余超过10%（不含），2分；结余在0-10%（含）的，1分；本年超支不得分。</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11" w:type="dxa"/>
            <w:vMerge w:val="continue"/>
            <w:noWrap w:val="0"/>
            <w:vAlign w:val="top"/>
          </w:tcPr>
          <w:p>
            <w:pPr>
              <w:rPr>
                <w:rFonts w:ascii="仿宋_GB2312" w:hAnsi="宋体" w:eastAsia="仿宋_GB2312" w:cs="宋体"/>
                <w:kern w:val="0"/>
                <w:sz w:val="20"/>
                <w:szCs w:val="20"/>
              </w:rPr>
            </w:pPr>
          </w:p>
        </w:tc>
        <w:tc>
          <w:tcPr>
            <w:tcW w:w="429" w:type="dxa"/>
            <w:vMerge w:val="continue"/>
            <w:tcBorders>
              <w:right w:val="single" w:color="auto" w:sz="4" w:space="0"/>
            </w:tcBorders>
            <w:noWrap w:val="0"/>
            <w:vAlign w:val="top"/>
          </w:tcPr>
          <w:p>
            <w:pP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top"/>
          </w:tcPr>
          <w:p>
            <w:pPr>
              <w:jc w:val="center"/>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控制率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11" w:type="dxa"/>
            <w:vMerge w:val="continue"/>
            <w:noWrap w:val="0"/>
            <w:vAlign w:val="top"/>
          </w:tcPr>
          <w:p>
            <w:pP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411" w:type="dxa"/>
            <w:vMerge w:val="continue"/>
            <w:noWrap w:val="0"/>
            <w:vAlign w:val="top"/>
          </w:tcPr>
          <w:p>
            <w:pPr>
              <w:widowControl/>
              <w:jc w:val="left"/>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tcBorders>
              <w:top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center"/>
              <w:rPr>
                <w:rFonts w:hint="eastAsia" w:ascii="仿宋_GB2312" w:hAnsi="宋体" w:eastAsia="仿宋_GB2312" w:cs="宋体"/>
                <w:kern w:val="0"/>
                <w:sz w:val="20"/>
                <w:szCs w:val="20"/>
              </w:rPr>
            </w:pPr>
          </w:p>
        </w:tc>
        <w:tc>
          <w:tcPr>
            <w:tcW w:w="3118" w:type="dxa"/>
            <w:tcBorders>
              <w:top w:val="single" w:color="auto" w:sz="4" w:space="0"/>
            </w:tcBorders>
            <w:noWrap w:val="0"/>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①已制定资金管理办法、内部财务管理制度、会计核算制度等管理制度，1分；</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②建立健全单位内部控制制度，1分；</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③会计人员、机构按规定设置，1分；</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rPr>
                <w:rFonts w:hint="eastAsia"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330" w:type="dxa"/>
            <w:tcBorders>
              <w:top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759" w:type="dxa"/>
            <w:tcBorders>
              <w:top w:val="single" w:color="auto" w:sz="4" w:space="0"/>
            </w:tcBorders>
            <w:noWrap w:val="0"/>
            <w:vAlign w:val="top"/>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11" w:type="dxa"/>
            <w:vMerge w:val="continue"/>
            <w:noWrap w:val="0"/>
            <w:vAlign w:val="top"/>
          </w:tcPr>
          <w:p>
            <w:pPr>
              <w:widowControl/>
              <w:jc w:val="left"/>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tcBorders>
              <w:top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noWrap w:val="0"/>
            <w:vAlign w:val="center"/>
          </w:tcPr>
          <w:p>
            <w:pP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330" w:type="dxa"/>
            <w:tcBorders>
              <w:top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759" w:type="dxa"/>
            <w:tcBorders>
              <w:top w:val="single" w:color="auto" w:sz="4" w:space="0"/>
            </w:tcBorders>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资金  使用</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合规性</w:t>
            </w:r>
          </w:p>
        </w:tc>
        <w:tc>
          <w:tcPr>
            <w:tcW w:w="567"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noWrap w:val="0"/>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①支出符合国家财经法规和财务管理制度规定以及有关专项资金管理办法的规定；</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②资金（开支）拨付有完整的审批程序和手续；</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③支出符合部门预算批复的用途；</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④资金使用无截留、挤占、挪用、虚列支出、随意借用、大额现金支付等情况。</w:t>
            </w:r>
          </w:p>
          <w:p>
            <w:pPr>
              <w:widowControl/>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rPr>
                <w:rFonts w:hint="eastAsia" w:ascii="仿宋_GB2312" w:hAnsi="仿宋" w:eastAsia="仿宋_GB2312" w:cs="仿宋"/>
                <w:kern w:val="0"/>
                <w:sz w:val="20"/>
                <w:szCs w:val="20"/>
                <w:lang w:eastAsia="zh-CN"/>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p>
          <w:p>
            <w:pPr>
              <w:widowControl/>
              <w:rPr>
                <w:rFonts w:ascii="仿宋_GB2312" w:hAnsi="宋体" w:eastAsia="仿宋_GB2312" w:cs="宋体"/>
                <w:kern w:val="0"/>
                <w:sz w:val="20"/>
                <w:szCs w:val="20"/>
              </w:rPr>
            </w:pP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330" w:type="dxa"/>
            <w:noWrap w:val="0"/>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759" w:type="dxa"/>
            <w:noWrap w:val="0"/>
            <w:vAlign w:val="top"/>
          </w:tcPr>
          <w:p>
            <w:pPr>
              <w:widowControl/>
              <w:jc w:val="left"/>
              <w:rPr>
                <w:rFonts w:hint="default"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noWrap w:val="0"/>
            <w:vAlign w:val="top"/>
          </w:tcPr>
          <w:p>
            <w:pPr>
              <w:widowControl/>
              <w:jc w:val="left"/>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top"/>
          </w:tcPr>
          <w:p>
            <w:pPr>
              <w:widowControl/>
              <w:jc w:val="left"/>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top"/>
          </w:tcPr>
          <w:p>
            <w:pPr>
              <w:widowControl/>
              <w:jc w:val="left"/>
              <w:rPr>
                <w:rFonts w:ascii="仿宋_GB2312" w:hAnsi="宋体" w:eastAsia="仿宋_GB2312" w:cs="宋体"/>
                <w:kern w:val="0"/>
                <w:sz w:val="20"/>
                <w:szCs w:val="20"/>
              </w:rPr>
            </w:pPr>
          </w:p>
        </w:tc>
        <w:tc>
          <w:tcPr>
            <w:tcW w:w="851" w:type="dxa"/>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noWrap w:val="0"/>
            <w:vAlign w:val="top"/>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330" w:type="dxa"/>
            <w:noWrap w:val="0"/>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759" w:type="dxa"/>
            <w:noWrap w:val="0"/>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noWrap w:val="0"/>
            <w:vAlign w:val="center"/>
          </w:tcPr>
          <w:p>
            <w:pPr>
              <w:widowControl/>
              <w:jc w:val="left"/>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①已制定资产管理制度，1分；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②相关资产管理制度得到有效执行，1分。                                           </w:t>
            </w:r>
          </w:p>
        </w:tc>
        <w:tc>
          <w:tcPr>
            <w:tcW w:w="3330"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759"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2</w:t>
            </w:r>
            <w:r>
              <w:rPr>
                <w:rFonts w:hint="eastAsia" w:ascii="仿宋_GB2312" w:hAnsi="宋体" w:eastAsia="仿宋_GB2312"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noWrap w:val="0"/>
            <w:vAlign w:val="top"/>
          </w:tcPr>
          <w:p>
            <w:pPr>
              <w:widowControl/>
              <w:jc w:val="left"/>
              <w:rPr>
                <w:rFonts w:hint="eastAsia"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资产  管理</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安全性</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noWrap w:val="0"/>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 xml:space="preserve">①资产保存完整；②资产配置合理；③资产处置规范； </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p>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以上情况每出现一例不符合要求的扣2分；⑨未按时报送2018年行政事业单位资产报表的，每延迟一天，扣1分，扣完为止。</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759" w:type="dxa"/>
            <w:noWrap w:val="0"/>
            <w:vAlign w:val="top"/>
          </w:tcPr>
          <w:p>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noWrap w:val="0"/>
            <w:vAlign w:val="top"/>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851" w:type="dxa"/>
            <w:noWrap w:val="0"/>
            <w:vAlign w:val="top"/>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固定  资产</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利用率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top"/>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330" w:type="dxa"/>
            <w:noWrap w:val="0"/>
            <w:vAlign w:val="top"/>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759" w:type="dxa"/>
            <w:noWrap w:val="0"/>
            <w:vAlign w:val="top"/>
          </w:tcPr>
          <w:p>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noWrap w:val="0"/>
            <w:vAlign w:val="top"/>
          </w:tcPr>
          <w:p>
            <w:pPr>
              <w:widowControl/>
              <w:jc w:val="left"/>
              <w:rPr>
                <w:rFonts w:ascii="仿宋_GB2312" w:hAnsi="宋体" w:eastAsia="仿宋_GB2312" w:cs="宋体"/>
                <w:kern w:val="0"/>
                <w:sz w:val="20"/>
                <w:szCs w:val="20"/>
              </w:rPr>
            </w:pPr>
          </w:p>
        </w:tc>
        <w:tc>
          <w:tcPr>
            <w:tcW w:w="429" w:type="dxa"/>
            <w:vMerge w:val="restart"/>
            <w:tcBorders>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2020年度部门整体支出绩效目标的，2分；③在规定时间内报送、公开以上目标的，2分，否则不得分。</w:t>
            </w:r>
          </w:p>
        </w:tc>
        <w:tc>
          <w:tcPr>
            <w:tcW w:w="3330" w:type="dxa"/>
            <w:noWrap w:val="0"/>
            <w:vAlign w:val="center"/>
          </w:tcPr>
          <w:p>
            <w:pPr>
              <w:widowControl/>
              <w:rPr>
                <w:rFonts w:hint="eastAsia" w:ascii="仿宋_GB2312" w:hAnsi="宋体" w:eastAsia="仿宋_GB2312" w:cs="宋体"/>
                <w:kern w:val="0"/>
                <w:sz w:val="20"/>
                <w:szCs w:val="20"/>
              </w:rPr>
            </w:pPr>
          </w:p>
        </w:tc>
        <w:tc>
          <w:tcPr>
            <w:tcW w:w="759" w:type="dxa"/>
            <w:noWrap w:val="0"/>
            <w:vAlign w:val="top"/>
          </w:tcPr>
          <w:p>
            <w:pPr>
              <w:widowControl/>
              <w:jc w:val="left"/>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noWrap w:val="0"/>
            <w:vAlign w:val="top"/>
          </w:tcPr>
          <w:p>
            <w:pPr>
              <w:widowControl/>
              <w:jc w:val="left"/>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top"/>
          </w:tcPr>
          <w:p>
            <w:pPr>
              <w:jc w:val="left"/>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noWrap w:val="0"/>
            <w:vAlign w:val="top"/>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开展2019年度专项资金绩效自评的，2分，每少一个专项资金的自评扣1分，扣完为止；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开展2019年度已完工项目绩效自评的，2分，每少一个项目扣1分，扣完为止；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开展2019年度部门整体支出绩效自评的，1分；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330" w:type="dxa"/>
            <w:noWrap w:val="0"/>
            <w:vAlign w:val="center"/>
          </w:tcPr>
          <w:p>
            <w:pPr>
              <w:widowControl/>
              <w:rPr>
                <w:rFonts w:hint="eastAsia" w:ascii="仿宋_GB2312" w:hAnsi="宋体" w:eastAsia="仿宋_GB2312" w:cs="宋体"/>
                <w:kern w:val="0"/>
                <w:sz w:val="20"/>
                <w:szCs w:val="20"/>
              </w:rPr>
            </w:pPr>
          </w:p>
        </w:tc>
        <w:tc>
          <w:tcPr>
            <w:tcW w:w="759" w:type="dxa"/>
            <w:noWrap w:val="0"/>
            <w:vAlign w:val="top"/>
          </w:tcPr>
          <w:p>
            <w:pPr>
              <w:widowControl/>
              <w:jc w:val="left"/>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noWrap w:val="0"/>
            <w:vAlign w:val="top"/>
          </w:tcPr>
          <w:p>
            <w:pPr>
              <w:widowControl/>
              <w:jc w:val="left"/>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noWrap w:val="0"/>
            <w:vAlign w:val="top"/>
          </w:tcPr>
          <w:p>
            <w:pPr>
              <w:jc w:val="left"/>
              <w:rPr>
                <w:rFonts w:hint="eastAsia" w:ascii="仿宋_GB2312" w:hAnsi="宋体" w:eastAsia="仿宋_GB2312" w:cs="宋体"/>
                <w:kern w:val="0"/>
                <w:sz w:val="20"/>
                <w:szCs w:val="20"/>
              </w:rPr>
            </w:pPr>
          </w:p>
        </w:tc>
        <w:tc>
          <w:tcPr>
            <w:tcW w:w="567" w:type="dxa"/>
            <w:tcBorders>
              <w:top w:val="nil"/>
              <w:left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 w:hAnsi="仿宋" w:eastAsia="仿宋" w:cs="宋体"/>
                <w:sz w:val="20"/>
                <w:szCs w:val="20"/>
              </w:rPr>
            </w:pPr>
            <w:r>
              <w:rPr>
                <w:rFonts w:hint="eastAsia" w:ascii="仿宋_GB2312" w:hAnsi="宋体" w:eastAsia="仿宋_GB2312" w:cs="宋体"/>
                <w:kern w:val="0"/>
                <w:sz w:val="20"/>
                <w:szCs w:val="20"/>
              </w:rPr>
              <w:t>根据20</w:t>
            </w:r>
            <w:r>
              <w:rPr>
                <w:rFonts w:hint="eastAsia" w:ascii="仿宋_GB2312" w:hAnsi="宋体" w:eastAsia="仿宋_GB2312" w:cs="宋体"/>
                <w:kern w:val="0"/>
                <w:sz w:val="20"/>
                <w:szCs w:val="20"/>
                <w:lang w:val="en-US" w:eastAsia="zh-CN"/>
              </w:rPr>
              <w:t>20</w:t>
            </w:r>
            <w:r>
              <w:rPr>
                <w:rFonts w:hint="eastAsia" w:ascii="仿宋_GB2312" w:hAnsi="宋体" w:eastAsia="仿宋_GB2312" w:cs="宋体"/>
                <w:kern w:val="0"/>
                <w:sz w:val="20"/>
                <w:szCs w:val="20"/>
              </w:rPr>
              <w:t>年度财政重点绩效评价和单位自评情况，向财政报送整改结果并整改到位的，2分，否则不得分。</w:t>
            </w:r>
          </w:p>
        </w:tc>
        <w:tc>
          <w:tcPr>
            <w:tcW w:w="3330" w:type="dxa"/>
            <w:noWrap w:val="0"/>
            <w:vAlign w:val="center"/>
          </w:tcPr>
          <w:p>
            <w:pPr>
              <w:rPr>
                <w:rFonts w:hint="eastAsia" w:ascii="仿宋_GB2312" w:hAnsi="宋体" w:eastAsia="仿宋_GB2312" w:cs="宋体"/>
                <w:kern w:val="0"/>
                <w:sz w:val="20"/>
                <w:szCs w:val="20"/>
              </w:rPr>
            </w:pPr>
          </w:p>
        </w:tc>
        <w:tc>
          <w:tcPr>
            <w:tcW w:w="759" w:type="dxa"/>
            <w:noWrap w:val="0"/>
            <w:vAlign w:val="top"/>
          </w:tcPr>
          <w:p>
            <w:pPr>
              <w:widowControl/>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noWrap w:val="0"/>
            <w:textDirection w:val="tbRlV"/>
            <w:vAlign w:val="top"/>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330"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759" w:type="dxa"/>
            <w:noWrap w:val="0"/>
            <w:vAlign w:val="top"/>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noWrap w:val="0"/>
            <w:textDirection w:val="tbRlV"/>
            <w:vAlign w:val="top"/>
          </w:tcPr>
          <w:p>
            <w:pPr>
              <w:widowControl/>
              <w:jc w:val="center"/>
              <w:rPr>
                <w:rFonts w:hint="eastAsia"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top"/>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top"/>
          </w:tcPr>
          <w:p>
            <w:pPr>
              <w:widowControl/>
              <w:jc w:val="center"/>
              <w:rPr>
                <w:rFonts w:hint="eastAsia" w:ascii="仿宋_GB2312" w:hAnsi="宋体" w:eastAsia="仿宋_GB2312" w:cs="宋体"/>
                <w:kern w:val="0"/>
                <w:sz w:val="20"/>
                <w:szCs w:val="20"/>
              </w:rPr>
            </w:pPr>
          </w:p>
        </w:tc>
        <w:tc>
          <w:tcPr>
            <w:tcW w:w="851" w:type="dxa"/>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top"/>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330" w:type="dxa"/>
            <w:noWrap w:val="0"/>
            <w:vAlign w:val="center"/>
          </w:tcPr>
          <w:p>
            <w:pPr>
              <w:autoSpaceDN w:val="0"/>
              <w:jc w:val="left"/>
              <w:textAlignment w:val="center"/>
              <w:rPr>
                <w:rFonts w:hint="eastAsia" w:ascii="仿宋_GB2312" w:hAnsi="宋体" w:eastAsia="仿宋_GB2312" w:cs="宋体"/>
                <w:kern w:val="0"/>
                <w:sz w:val="20"/>
                <w:szCs w:val="20"/>
              </w:rPr>
            </w:pPr>
          </w:p>
        </w:tc>
        <w:tc>
          <w:tcPr>
            <w:tcW w:w="759" w:type="dxa"/>
            <w:noWrap w:val="0"/>
            <w:vAlign w:val="top"/>
          </w:tcPr>
          <w:p>
            <w:pPr>
              <w:jc w:val="left"/>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448" w:type="dxa"/>
            <w:gridSpan w:val="2"/>
            <w:vMerge w:val="restart"/>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此三项指标可根据部门实际并结合2020年度部门整体支出绩效目标设立情况有选择的进行评价。</w:t>
            </w:r>
          </w:p>
        </w:tc>
        <w:tc>
          <w:tcPr>
            <w:tcW w:w="759"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2</w:t>
            </w:r>
            <w:r>
              <w:rPr>
                <w:rFonts w:hint="eastAsia" w:ascii="仿宋_GB2312" w:hAnsi="宋体" w:eastAsia="仿宋_GB2312"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noWrap w:val="0"/>
            <w:vAlign w:val="center"/>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noWrap w:val="0"/>
            <w:vAlign w:val="center"/>
          </w:tcPr>
          <w:p>
            <w:pPr>
              <w:widowControl/>
              <w:jc w:val="left"/>
              <w:rPr>
                <w:rFonts w:hint="eastAsia" w:ascii="仿宋_GB2312" w:hAnsi="宋体" w:eastAsia="仿宋_GB2312" w:cs="宋体"/>
                <w:kern w:val="0"/>
                <w:sz w:val="20"/>
                <w:szCs w:val="20"/>
              </w:rPr>
            </w:pPr>
          </w:p>
        </w:tc>
        <w:tc>
          <w:tcPr>
            <w:tcW w:w="6448"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759" w:type="dxa"/>
            <w:vMerge w:val="continue"/>
            <w:noWrap w:val="0"/>
            <w:vAlign w:val="center"/>
          </w:tcPr>
          <w:p>
            <w:pPr>
              <w:widowControl/>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noWrap w:val="0"/>
            <w:vAlign w:val="center"/>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noWrap w:val="0"/>
            <w:vAlign w:val="center"/>
          </w:tcPr>
          <w:p>
            <w:pPr>
              <w:widowControl/>
              <w:jc w:val="left"/>
              <w:rPr>
                <w:rFonts w:hint="eastAsia" w:ascii="仿宋_GB2312" w:hAnsi="宋体" w:eastAsia="仿宋_GB2312" w:cs="宋体"/>
                <w:kern w:val="0"/>
                <w:sz w:val="20"/>
                <w:szCs w:val="20"/>
              </w:rPr>
            </w:pPr>
          </w:p>
        </w:tc>
        <w:tc>
          <w:tcPr>
            <w:tcW w:w="6448"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759" w:type="dxa"/>
            <w:vMerge w:val="continue"/>
            <w:noWrap w:val="0"/>
            <w:vAlign w:val="center"/>
          </w:tcPr>
          <w:p>
            <w:pPr>
              <w:widowControl/>
              <w:jc w:val="left"/>
              <w:rPr>
                <w:rFonts w:hint="eastAsia" w:ascii="仿宋_GB2312"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noWrap w:val="0"/>
            <w:vAlign w:val="top"/>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top"/>
          </w:tcPr>
          <w:p>
            <w:pPr>
              <w:widowControl/>
              <w:jc w:val="left"/>
              <w:rPr>
                <w:rFonts w:hint="eastAsia" w:ascii="仿宋_GB2312" w:hAnsi="宋体" w:eastAsia="仿宋_GB2312" w:cs="宋体"/>
                <w:kern w:val="0"/>
                <w:sz w:val="20"/>
                <w:szCs w:val="20"/>
              </w:rPr>
            </w:pPr>
          </w:p>
        </w:tc>
        <w:tc>
          <w:tcPr>
            <w:tcW w:w="851"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90%（含）以上计2分；</w:t>
            </w:r>
          </w:p>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80%（含）-90%，计1分；70%（含）-80%，计0.5分；低于70%,计0分。</w:t>
            </w:r>
          </w:p>
        </w:tc>
        <w:tc>
          <w:tcPr>
            <w:tcW w:w="3330" w:type="dxa"/>
            <w:noWrap w:val="0"/>
            <w:vAlign w:val="center"/>
          </w:tcPr>
          <w:p>
            <w:pPr>
              <w:widowControl/>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759" w:type="dxa"/>
            <w:noWrap w:val="0"/>
            <w:vAlign w:val="top"/>
          </w:tcPr>
          <w:p>
            <w:pPr>
              <w:widowControl/>
              <w:jc w:val="left"/>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0" w:type="dxa"/>
            <w:gridSpan w:val="2"/>
            <w:noWrap w:val="0"/>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433" w:type="dxa"/>
            <w:gridSpan w:val="5"/>
            <w:noWrap w:val="0"/>
            <w:vAlign w:val="center"/>
          </w:tcPr>
          <w:p>
            <w:pPr>
              <w:widowControl/>
              <w:rPr>
                <w:rFonts w:hint="eastAsia" w:ascii="仿宋_GB2312" w:hAnsi="宋体" w:eastAsia="仿宋_GB2312" w:cs="宋体"/>
                <w:kern w:val="0"/>
                <w:sz w:val="20"/>
                <w:szCs w:val="20"/>
              </w:rPr>
            </w:pPr>
          </w:p>
        </w:tc>
        <w:tc>
          <w:tcPr>
            <w:tcW w:w="759" w:type="dxa"/>
            <w:noWrap w:val="0"/>
            <w:vAlign w:val="top"/>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87.8</w:t>
            </w:r>
          </w:p>
        </w:tc>
      </w:tr>
    </w:tbl>
    <w:p>
      <w:pPr>
        <w:spacing w:line="600" w:lineRule="exact"/>
        <w:rPr>
          <w:rFonts w:ascii="宋体" w:hAnsi="宋体" w:cs="宋体"/>
          <w:kern w:val="0"/>
          <w:sz w:val="32"/>
          <w:szCs w:val="32"/>
        </w:rPr>
      </w:pPr>
    </w:p>
    <w:p>
      <w:r>
        <w:rPr>
          <w:rFonts w:eastAsia="仿宋_GB2312"/>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F536E"/>
    <w:rsid w:val="0362381E"/>
    <w:rsid w:val="08FC4BC8"/>
    <w:rsid w:val="12DF536E"/>
    <w:rsid w:val="392B7564"/>
    <w:rsid w:val="4BCA167E"/>
    <w:rsid w:val="60935765"/>
    <w:rsid w:val="6C1C081D"/>
    <w:rsid w:val="76F9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2952</Words>
  <Characters>3126</Characters>
  <Lines>0</Lines>
  <Paragraphs>0</Paragraphs>
  <TotalTime>10</TotalTime>
  <ScaleCrop>false</ScaleCrop>
  <LinksUpToDate>false</LinksUpToDate>
  <CharactersWithSpaces>3292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2021-05-25T02:53:00Z</dcterms:created>
  <dc:creator>幸福满屋</dc:creator>
  <cp:lastModifiedBy>Administrator</cp:lastModifiedBy>
  <dcterms:modified xsi:type="dcterms:W3CDTF">2022-07-19T03:53:25Z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73581E8DCEB949ABBF9D72A5F181AAAA</vt:lpwstr>
  </property>
</Properties>
</file>